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67D98" w:rsidP="66A95328" w:rsidRDefault="00567D98" w14:paraId="5F542605" w14:textId="4FB04F1E">
      <w:pPr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="40239782">
        <w:drawing>
          <wp:inline wp14:editId="69412748" wp14:anchorId="32C85D6A">
            <wp:extent cx="733425" cy="733425"/>
            <wp:effectExtent l="0" t="0" r="0" b="0"/>
            <wp:docPr id="6902820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c01c95ad6347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</w:p>
    <w:p w:rsidR="00567D98" w:rsidP="66A95328" w:rsidRDefault="00567D98" w14:paraId="79FE51FA" w14:textId="523BBDCF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L’Ambassade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États-Unis </w:t>
      </w:r>
    </w:p>
    <w:p w:rsidR="00567D98" w:rsidP="66A95328" w:rsidRDefault="00567D98" w14:paraId="0536AFD9" w14:textId="4D6FF2A2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COMMUNIQUÉ DE PRESSE </w:t>
      </w:r>
    </w:p>
    <w:p w:rsidR="00567D98" w:rsidP="66A95328" w:rsidRDefault="00567D98" w14:paraId="25667A31" w14:textId="13230F19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Contactez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: la Section des Affaires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Publiques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224 629 000 425, </w:t>
      </w:r>
      <w:hyperlink r:id="Re00cefc6954b403d">
        <w:r w:rsidRPr="66A95328" w:rsidR="4023978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563C1"/>
            <w:sz w:val="24"/>
            <w:szCs w:val="24"/>
            <w:u w:val="none"/>
          </w:rPr>
          <w:t>conakrypress@state.gov</w:t>
        </w:r>
      </w:hyperlink>
    </w:p>
    <w:p w:rsidR="00567D98" w:rsidP="66A95328" w:rsidRDefault="00567D98" w14:paraId="1BE9077E" w14:textId="23E38873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</w:p>
    <w:p w:rsidR="00567D98" w:rsidP="66A95328" w:rsidRDefault="00567D98" w14:paraId="11B75B9E" w14:textId="40E724C8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</w:p>
    <w:p w:rsidR="00567D98" w:rsidP="66A95328" w:rsidRDefault="00567D98" w14:paraId="560B7239" w14:textId="4AAB08C9">
      <w:pPr>
        <w:shd w:val="clear" w:color="auto" w:fill="FFFFFF" w:themeFill="background1"/>
        <w:spacing w:before="0" w:beforeAutospacing="off" w:after="120" w:afterAutospacing="off" w:line="324" w:lineRule="auto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Conakry, le 30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juillet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2024</w:t>
      </w:r>
    </w:p>
    <w:p w:rsidR="00567D98" w:rsidP="66A95328" w:rsidRDefault="00567D98" w14:paraId="246870F3" w14:textId="0574991F">
      <w:pPr>
        <w:shd w:val="clear" w:color="auto" w:fill="FFFFFF" w:themeFill="background1"/>
        <w:spacing w:before="0" w:beforeAutospacing="off" w:after="12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Pour diffusion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immédiate</w:t>
      </w:r>
    </w:p>
    <w:p w:rsidR="00567D98" w:rsidP="66A95328" w:rsidRDefault="00567D98" w14:paraId="71255F65" w14:textId="6D501D45">
      <w:pPr>
        <w:shd w:val="clear" w:color="auto" w:fill="FFFFFF" w:themeFill="background1"/>
        <w:spacing w:before="0" w:beforeAutospacing="off" w:after="12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567D98" w:rsidP="66A95328" w:rsidRDefault="00567D98" w14:paraId="301A6C20" w14:textId="7548DC3A">
      <w:pPr>
        <w:pStyle w:val="Normal"/>
        <w:rPr>
          <w:sz w:val="28"/>
          <w:szCs w:val="28"/>
        </w:rPr>
      </w:pPr>
      <w:r w:rsidRPr="66A95328" w:rsidR="40239782">
        <w:rPr>
          <w:sz w:val="28"/>
          <w:szCs w:val="28"/>
        </w:rPr>
        <w:t xml:space="preserve">La société américaine Wabtec Corporation </w:t>
      </w:r>
      <w:r w:rsidRPr="66A95328" w:rsidR="40239782">
        <w:rPr>
          <w:sz w:val="28"/>
          <w:szCs w:val="28"/>
        </w:rPr>
        <w:t>signe</w:t>
      </w:r>
      <w:r w:rsidRPr="66A95328" w:rsidR="40239782">
        <w:rPr>
          <w:sz w:val="28"/>
          <w:szCs w:val="28"/>
        </w:rPr>
        <w:t xml:space="preserve"> </w:t>
      </w:r>
      <w:r w:rsidRPr="66A95328" w:rsidR="40239782">
        <w:rPr>
          <w:sz w:val="28"/>
          <w:szCs w:val="28"/>
        </w:rPr>
        <w:t>une</w:t>
      </w:r>
      <w:r w:rsidRPr="66A95328" w:rsidR="40239782">
        <w:rPr>
          <w:sz w:val="28"/>
          <w:szCs w:val="28"/>
        </w:rPr>
        <w:t xml:space="preserve"> </w:t>
      </w:r>
      <w:r w:rsidRPr="66A95328" w:rsidR="40239782">
        <w:rPr>
          <w:sz w:val="28"/>
          <w:szCs w:val="28"/>
        </w:rPr>
        <w:t>commande</w:t>
      </w:r>
      <w:r w:rsidRPr="66A95328" w:rsidR="40239782">
        <w:rPr>
          <w:sz w:val="28"/>
          <w:szCs w:val="28"/>
        </w:rPr>
        <w:t xml:space="preserve"> de locomotives de 277 </w:t>
      </w:r>
      <w:r w:rsidRPr="66A95328" w:rsidR="40239782">
        <w:rPr>
          <w:sz w:val="28"/>
          <w:szCs w:val="28"/>
        </w:rPr>
        <w:t>millions</w:t>
      </w:r>
      <w:r w:rsidRPr="66A95328" w:rsidR="40239782">
        <w:rPr>
          <w:sz w:val="28"/>
          <w:szCs w:val="28"/>
        </w:rPr>
        <w:t xml:space="preserve"> de dollars avec Rio Tinto pour </w:t>
      </w:r>
      <w:r w:rsidRPr="66A95328" w:rsidR="40239782">
        <w:rPr>
          <w:sz w:val="28"/>
          <w:szCs w:val="28"/>
        </w:rPr>
        <w:t>soutenir</w:t>
      </w:r>
      <w:r w:rsidRPr="66A95328" w:rsidR="40239782">
        <w:rPr>
          <w:sz w:val="28"/>
          <w:szCs w:val="28"/>
        </w:rPr>
        <w:t xml:space="preserve"> le </w:t>
      </w:r>
      <w:r w:rsidRPr="66A95328" w:rsidR="40239782">
        <w:rPr>
          <w:sz w:val="28"/>
          <w:szCs w:val="28"/>
        </w:rPr>
        <w:t>projet</w:t>
      </w:r>
      <w:r w:rsidRPr="66A95328" w:rsidR="40239782">
        <w:rPr>
          <w:sz w:val="28"/>
          <w:szCs w:val="28"/>
        </w:rPr>
        <w:t xml:space="preserve"> de </w:t>
      </w:r>
      <w:r w:rsidRPr="66A95328" w:rsidR="40239782">
        <w:rPr>
          <w:sz w:val="28"/>
          <w:szCs w:val="28"/>
        </w:rPr>
        <w:t>minerai</w:t>
      </w:r>
      <w:r w:rsidRPr="66A95328" w:rsidR="40239782">
        <w:rPr>
          <w:sz w:val="28"/>
          <w:szCs w:val="28"/>
        </w:rPr>
        <w:t xml:space="preserve"> de fer </w:t>
      </w:r>
      <w:r w:rsidRPr="66A95328" w:rsidR="40239782">
        <w:rPr>
          <w:sz w:val="28"/>
          <w:szCs w:val="28"/>
        </w:rPr>
        <w:t>Simandouen</w:t>
      </w:r>
      <w:r w:rsidRPr="66A95328" w:rsidR="40239782">
        <w:rPr>
          <w:sz w:val="28"/>
          <w:szCs w:val="28"/>
        </w:rPr>
        <w:t xml:space="preserve"> </w:t>
      </w:r>
      <w:r w:rsidRPr="66A95328" w:rsidR="40239782">
        <w:rPr>
          <w:sz w:val="28"/>
          <w:szCs w:val="28"/>
        </w:rPr>
        <w:t>Guinée</w:t>
      </w:r>
    </w:p>
    <w:p w:rsidR="00567D98" w:rsidP="66A95328" w:rsidRDefault="00567D98" w14:paraId="221DD4EE" w14:textId="1A2466D5">
      <w:pPr>
        <w:pStyle w:val="Normal"/>
      </w:pPr>
    </w:p>
    <w:p w:rsidR="00567D98" w:rsidP="66A95328" w:rsidRDefault="00567D98" w14:paraId="15D56696" w14:textId="38A28A42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Aujourd'hui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la société américaine Wabtec Corporation 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signé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contrat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277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millions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dollars avec Rio Tinto pour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fournir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une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flotte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locomotives de pointe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qui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améliorera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l'infrastructure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ferroviaire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du pays.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cérémonie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signature du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contrat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tenue à Conakry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présence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du Premier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Ministre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Bah Oury, du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Président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l’entreprise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locomotives de Wabtec, Rogerio Mendoca, et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Chargée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d’Affaires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a.i.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Anne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Dudte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l'ambassade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États-Unis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marqué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une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étape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importante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dans les efforts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pour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moderniser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son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secteur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transports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stimuler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croissance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économique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.</w:t>
      </w:r>
    </w:p>
    <w:p w:rsidR="00567D98" w:rsidP="66A95328" w:rsidRDefault="00567D98" w14:paraId="740E8F52" w14:textId="1DAB4AA1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Ce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partenariat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stratégique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souligne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les liens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économiques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étroits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entre les États-Unis et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met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évidence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l'engagement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continu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faveur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infrastructure et du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développement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économique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du pays. Cela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va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au-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delà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l'infrastructure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physique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représente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investissement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significatif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dans les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compétences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les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ressources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du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peuple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par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une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compagnie américaine. Lors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l'événement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le Premier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Ministre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noté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que le chemin de fer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était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«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rêve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plusieurs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générations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» et que 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projet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Simandou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signalait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une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« renaissance »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guinéenne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.</w:t>
      </w:r>
    </w:p>
    <w:p w:rsidR="00567D98" w:rsidP="66A95328" w:rsidRDefault="00567D98" w14:paraId="586D8709" w14:textId="7744FEA4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Ce sera la plus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grande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flotte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Wabtec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Afrique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l'Ouest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Afrique centrale. Les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responsables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Wabtec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ont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partagé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leurs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locomotives Evolution Series ES43ACmi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peuvent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durer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plus de 20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lorsqu'elles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sont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bien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entretenues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actifs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devraient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avoir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impact durable sur 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projet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minerai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fer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Simandou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l'infrastructure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ferroviaire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.</w:t>
      </w:r>
    </w:p>
    <w:p w:rsidR="00567D98" w:rsidP="66A95328" w:rsidRDefault="00567D98" w14:paraId="6E307962" w14:textId="05FE93DF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La Compagnie du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TransGuinéen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(CTG),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coentreprise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qui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inclut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gouvernement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le Winning Consortium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Simandou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(WCS),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Baowu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, Rio Tinto-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SimFer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et Chinalco, 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célébré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son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deuxième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anniversaire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cette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semaine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avec un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événement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deux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jours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qui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comprenait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la signature du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contrat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avec Wabtec.</w:t>
      </w:r>
    </w:p>
    <w:p w:rsidR="00567D98" w:rsidP="66A95328" w:rsidRDefault="00567D98" w14:paraId="0F5E0D07" w14:textId="3AF59191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Les locomotives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fonctionneront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long du nouveau chemin de fer multi-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utilisateurs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TransGuinéen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qui sera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géré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par la CTG après la fin des travaux de construction. 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système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ferroviaire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s'étendra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sur environ 600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kilomètres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montagnes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Simandou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au port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Forécariah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. À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l'avenir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chemin de fer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permettra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transport facile des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produits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miniers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y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compris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minerai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fer,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éventuellement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produits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agricoles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des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passagers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.</w:t>
      </w:r>
    </w:p>
    <w:p w:rsidR="00567D98" w:rsidP="66A95328" w:rsidRDefault="00567D98" w14:paraId="2E7560C0" w14:textId="762C0992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renforcement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capacités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locales fait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partie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stratégie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mondiale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Wabtec. Dans le cadre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cette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philosophie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opérationnelle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ils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prévoient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recruter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des talents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locaux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pour former des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techniciens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ingénieurs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locomotives.</w:t>
      </w:r>
    </w:p>
    <w:p w:rsidR="00567D98" w:rsidP="66A95328" w:rsidRDefault="00567D98" w14:paraId="4909ECCE" w14:textId="6C55B241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« La puissance des chemins de fer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est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qu'ils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agissent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comme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catalyseur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croissance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économique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. Nous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sommes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ravis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d'être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confiés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projet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Guinée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nous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nous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réjouissons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soutenir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projet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Simandou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tant que fabricant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d'équipement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d'origine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ainsi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que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fournir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transfert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compétences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aux populations et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région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», 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déclaré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Mpilo Dlamini, Vice-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président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régional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qui dirige Wabtec dans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région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l'Afrique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subsaharienne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.</w:t>
      </w:r>
    </w:p>
    <w:p w:rsidR="00567D98" w:rsidP="66A95328" w:rsidRDefault="00567D98" w14:paraId="0C2E56F8" w14:textId="658E2600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À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propos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Wabtec Corporation</w:t>
      </w:r>
    </w:p>
    <w:p w:rsidR="00567D98" w:rsidP="66A95328" w:rsidRDefault="00567D98" w14:paraId="7FF5C806" w14:textId="62C92C9F">
      <w:pPr>
        <w:shd w:val="clear" w:color="auto" w:fill="FFFFFF" w:themeFill="background1"/>
        <w:spacing w:before="0" w:beforeAutospacing="off" w:after="120" w:afterAutospacing="off" w:line="29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Wabtec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Corporation (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NYSE :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WAB)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révolutionne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la manière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dont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monde se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déplace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pour les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générations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futures. La société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est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fournisseur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mondial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premier plan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d'équipements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systèmes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de solutions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numériques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de services à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valeur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ajoutée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pour les industries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ferroviaire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fret et de transit,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ainsi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que pour les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marchés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miniers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,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marins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industriels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.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Wabtec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est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un leader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l'industrie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ferroviaire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depuis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plus de 150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ans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et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est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leader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mondial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de la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décarbonisation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du rail de fret.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Visitez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le site Web de 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Wabtec</w:t>
      </w: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à </w:t>
      </w:r>
      <w:hyperlink r:id="Raea3a9edf69f40da">
        <w:r w:rsidRPr="66A95328" w:rsidR="4023978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563C1"/>
            <w:sz w:val="24"/>
            <w:szCs w:val="24"/>
            <w:u w:val="none"/>
          </w:rPr>
          <w:t>www.wabteccorp.com</w:t>
        </w:r>
      </w:hyperlink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.</w:t>
      </w:r>
    </w:p>
    <w:p w:rsidR="00567D98" w:rsidP="66A95328" w:rsidRDefault="00567D98" w14:paraId="43FF6429" w14:textId="17EFC77D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</w:p>
    <w:p w:rsidR="00567D98" w:rsidP="66A95328" w:rsidRDefault="00567D98" w14:paraId="3028BD62" w14:textId="436A7C7A">
      <w:pPr>
        <w:shd w:val="clear" w:color="auto" w:fill="FFFFFF" w:themeFill="background1"/>
        <w:spacing w:before="0" w:beforeAutospacing="off" w:after="0" w:afterAutospacing="off" w:line="32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###</w:t>
      </w:r>
    </w:p>
    <w:p w:rsidR="00567D98" w:rsidP="66A95328" w:rsidRDefault="00567D98" w14:paraId="2B38B33F" w14:textId="6D940461">
      <w:pPr>
        <w:shd w:val="clear" w:color="auto" w:fill="FFFFFF" w:themeFill="background1"/>
        <w:spacing w:before="0" w:beforeAutospacing="off" w:after="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 </w:t>
      </w:r>
    </w:p>
    <w:p w:rsidR="00567D98" w:rsidP="66A95328" w:rsidRDefault="00567D98" w14:paraId="45C2499C" w14:textId="125966AE">
      <w:pPr>
        <w:pStyle w:val="Normal"/>
        <w:shd w:val="clear" w:color="auto" w:fill="FFFFFF" w:themeFill="background1"/>
        <w:spacing w:before="0" w:beforeAutospacing="off" w:after="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</w:p>
    <w:p w:rsidR="00567D98" w:rsidP="66A95328" w:rsidRDefault="00567D98" w14:paraId="330DD79C" w14:textId="66A5C3AB">
      <w:pPr>
        <w:shd w:val="clear" w:color="auto" w:fill="FFFFFF" w:themeFill="background1"/>
        <w:spacing w:before="0" w:beforeAutospacing="off" w:after="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Contact: Salimatou Barry - U.S. Embassy, Conakry – Strategic Content Coordinator Assistant</w:t>
      </w:r>
    </w:p>
    <w:p w:rsidR="00567D98" w:rsidP="66A95328" w:rsidRDefault="00567D98" w14:paraId="5AC3C130" w14:textId="0AE16586">
      <w:pPr>
        <w:shd w:val="clear" w:color="auto" w:fill="FFFFFF" w:themeFill="background1"/>
        <w:spacing w:before="0" w:beforeAutospacing="off" w:after="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 xml:space="preserve">Email: </w:t>
      </w:r>
      <w:hyperlink r:id="R39a2b4f3ad8a47bb">
        <w:r w:rsidRPr="66A95328" w:rsidR="4023978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563C1"/>
            <w:sz w:val="24"/>
            <w:szCs w:val="24"/>
            <w:u w:val="none"/>
          </w:rPr>
          <w:t>ConakryPress@state.gov</w:t>
        </w:r>
      </w:hyperlink>
    </w:p>
    <w:p w:rsidR="00567D98" w:rsidP="66A95328" w:rsidRDefault="00567D98" w14:paraId="0937B2E6" w14:textId="06B95DFD">
      <w:pPr>
        <w:shd w:val="clear" w:color="auto" w:fill="FFFFFF" w:themeFill="background1"/>
        <w:spacing w:before="0" w:beforeAutospacing="off" w:after="0" w:afterAutospacing="off" w:line="324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</w:pPr>
      <w:r w:rsidRPr="66A95328" w:rsidR="40239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color w:val="242424"/>
          <w:sz w:val="24"/>
          <w:szCs w:val="24"/>
          <w:u w:val="none"/>
        </w:rPr>
        <w:t>Phone: 224 629 000 425</w:t>
      </w:r>
      <w:r>
        <w:br/>
      </w:r>
    </w:p>
    <w:p w:rsidR="00567D98" w:rsidP="66A95328" w:rsidRDefault="00567D98" w14:paraId="2C078E63" w14:textId="1BC942C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="00567D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F03A2E"/>
    <w:rsid w:val="00567D98"/>
    <w:rsid w:val="00D841F2"/>
    <w:rsid w:val="1B7A4BEF"/>
    <w:rsid w:val="1DF03A2E"/>
    <w:rsid w:val="2B739695"/>
    <w:rsid w:val="31AFCAF2"/>
    <w:rsid w:val="40239782"/>
    <w:rsid w:val="5BC45B34"/>
    <w:rsid w:val="66A95328"/>
    <w:rsid w:val="7B90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3A2E"/>
  <w15:chartTrackingRefBased/>
  <w15:docId w15:val="{9ABD7BEC-00F9-41CA-BFE6-C6D3C5E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6A95328"/>
    <w:rPr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6A95328"/>
    <w:rPr>
      <w:rFonts w:eastAsia="ＭＳ 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6A95328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6A95328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6A95328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F5496" w:themeColor="accent1" w:themeTint="FF" w:themeShade="BF"/>
      <w:sz w:val="32"/>
      <w:szCs w:val="32"/>
      <w:lang w:val="en-US"/>
    </w:rPr>
  </w:style>
  <w:style w:type="character" w:styleId="Heading2Char" w:customStyle="true">
    <w:uiPriority w:val="9"/>
    <w:name w:val="Heading 2 Char"/>
    <w:basedOn w:val="DefaultParagraphFont"/>
    <w:link w:val="Heading2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F5496" w:themeColor="accent1" w:themeTint="FF" w:themeShade="BF"/>
      <w:sz w:val="26"/>
      <w:szCs w:val="26"/>
      <w:lang w:val="en-US"/>
    </w:rPr>
  </w:style>
  <w:style w:type="character" w:styleId="Heading3Char" w:customStyle="true">
    <w:uiPriority w:val="9"/>
    <w:name w:val="Heading 3 Char"/>
    <w:basedOn w:val="DefaultParagraphFont"/>
    <w:link w:val="Heading3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1F3763"/>
      <w:sz w:val="24"/>
      <w:szCs w:val="24"/>
      <w:lang w:val="en-US"/>
    </w:rPr>
  </w:style>
  <w:style w:type="character" w:styleId="Heading4Char" w:customStyle="true">
    <w:uiPriority w:val="9"/>
    <w:name w:val="Heading 4 Char"/>
    <w:basedOn w:val="DefaultParagraphFont"/>
    <w:link w:val="Heading4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/>
      <w:color w:val="2F5496" w:themeColor="accent1" w:themeTint="FF" w:themeShade="BF"/>
      <w:lang w:val="en-US"/>
    </w:rPr>
  </w:style>
  <w:style w:type="character" w:styleId="Heading5Char" w:customStyle="true">
    <w:uiPriority w:val="9"/>
    <w:name w:val="Heading 5 Char"/>
    <w:basedOn w:val="DefaultParagraphFont"/>
    <w:link w:val="Heading5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F5496" w:themeColor="accent1" w:themeTint="FF" w:themeShade="BF"/>
      <w:lang w:val="en-US"/>
    </w:rPr>
  </w:style>
  <w:style w:type="character" w:styleId="Heading6Char" w:customStyle="true">
    <w:uiPriority w:val="9"/>
    <w:name w:val="Heading 6 Char"/>
    <w:basedOn w:val="DefaultParagraphFont"/>
    <w:link w:val="Heading6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1F3763"/>
      <w:lang w:val="en-US"/>
    </w:rPr>
  </w:style>
  <w:style w:type="character" w:styleId="Heading7Char" w:customStyle="true">
    <w:uiPriority w:val="9"/>
    <w:name w:val="Heading 7 Char"/>
    <w:basedOn w:val="DefaultParagraphFont"/>
    <w:link w:val="Heading7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/>
      <w:color w:val="1F3763"/>
      <w:lang w:val="en-US"/>
    </w:rPr>
  </w:style>
  <w:style w:type="character" w:styleId="Heading8Char" w:customStyle="true">
    <w:uiPriority w:val="9"/>
    <w:name w:val="Heading 8 Char"/>
    <w:basedOn w:val="DefaultParagraphFont"/>
    <w:link w:val="Heading8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72727"/>
      <w:sz w:val="21"/>
      <w:szCs w:val="21"/>
      <w:lang w:val="en-US"/>
    </w:rPr>
  </w:style>
  <w:style w:type="character" w:styleId="Heading9Char" w:customStyle="true">
    <w:uiPriority w:val="9"/>
    <w:name w:val="Heading 9 Char"/>
    <w:basedOn w:val="DefaultParagraphFont"/>
    <w:link w:val="Heading9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/>
      <w:color w:val="272727"/>
      <w:sz w:val="21"/>
      <w:szCs w:val="21"/>
      <w:lang w:val="en-US"/>
    </w:rPr>
  </w:style>
  <w:style w:type="character" w:styleId="TitleChar" w:customStyle="true">
    <w:uiPriority w:val="10"/>
    <w:name w:val="Title Char"/>
    <w:basedOn w:val="DefaultParagraphFont"/>
    <w:link w:val="Title"/>
    <w:rsid w:val="66A95328"/>
    <w:rPr>
      <w:rFonts w:ascii="Calibri Light" w:hAnsi="Calibri Light" w:eastAsia="ＭＳ ゴシック" w:cs="Times New Roman" w:asciiTheme="majorAscii" w:hAnsiTheme="majorAscii" w:eastAsiaTheme="majorEastAsia" w:cstheme="majorBidi"/>
      <w:noProof/>
      <w:sz w:val="56"/>
      <w:szCs w:val="56"/>
      <w:lang w:val="en-US"/>
    </w:rPr>
  </w:style>
  <w:style w:type="character" w:styleId="SubtitleChar" w:customStyle="true">
    <w:uiPriority w:val="11"/>
    <w:name w:val="Subtitle Char"/>
    <w:basedOn w:val="DefaultParagraphFont"/>
    <w:link w:val="Subtitle"/>
    <w:rsid w:val="66A95328"/>
    <w:rPr>
      <w:rFonts w:eastAsia="ＭＳ 明朝" w:eastAsiaTheme="minorEastAsia"/>
      <w:noProof/>
      <w:color w:val="5A5A5A"/>
      <w:lang w:val="en-US"/>
    </w:rPr>
  </w:style>
  <w:style w:type="character" w:styleId="QuoteChar" w:customStyle="true">
    <w:uiPriority w:val="29"/>
    <w:name w:val="Quote Char"/>
    <w:basedOn w:val="DefaultParagraphFont"/>
    <w:link w:val="Quote"/>
    <w:rsid w:val="66A95328"/>
    <w:rPr>
      <w:i w:val="1"/>
      <w:iCs w:val="1"/>
      <w:noProof/>
      <w:color w:val="404040" w:themeColor="text1" w:themeTint="BF" w:themeShade="FF"/>
      <w:lang w:val="en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6A95328"/>
    <w:rPr>
      <w:i w:val="1"/>
      <w:iCs w:val="1"/>
      <w:noProof/>
      <w:color w:val="4472C4" w:themeColor="accent1" w:themeTint="FF" w:themeShade="FF"/>
      <w:lang w:val="en-US"/>
    </w:rPr>
  </w:style>
  <w:style w:type="paragraph" w:styleId="TOC1">
    <w:uiPriority w:val="39"/>
    <w:name w:val="toc 1"/>
    <w:basedOn w:val="Normal"/>
    <w:next w:val="Normal"/>
    <w:unhideWhenUsed/>
    <w:rsid w:val="66A95328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6A95328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6A95328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6A95328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6A95328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6A95328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6A95328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6A95328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6A95328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6A95328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6A95328"/>
    <w:rPr>
      <w:noProof/>
      <w:sz w:val="20"/>
      <w:szCs w:val="20"/>
      <w:lang w:val="en-US"/>
    </w:rPr>
  </w:style>
  <w:style w:type="paragraph" w:styleId="Footer">
    <w:uiPriority w:val="99"/>
    <w:name w:val="footer"/>
    <w:basedOn w:val="Normal"/>
    <w:unhideWhenUsed/>
    <w:link w:val="FooterChar"/>
    <w:rsid w:val="66A95328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true">
    <w:uiPriority w:val="99"/>
    <w:name w:val="Footer Char"/>
    <w:basedOn w:val="DefaultParagraphFont"/>
    <w:link w:val="Footer"/>
    <w:rsid w:val="66A95328"/>
    <w:rPr>
      <w:noProof/>
      <w:lang w:val="en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6A95328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6A95328"/>
    <w:rPr>
      <w:noProof/>
      <w:sz w:val="20"/>
      <w:szCs w:val="20"/>
      <w:lang w:val="en-US"/>
    </w:rPr>
  </w:style>
  <w:style w:type="paragraph" w:styleId="Header">
    <w:uiPriority w:val="99"/>
    <w:name w:val="header"/>
    <w:basedOn w:val="Normal"/>
    <w:unhideWhenUsed/>
    <w:link w:val="HeaderChar"/>
    <w:rsid w:val="66A95328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true">
    <w:uiPriority w:val="99"/>
    <w:name w:val="Header Char"/>
    <w:basedOn w:val="DefaultParagraphFont"/>
    <w:link w:val="Header"/>
    <w:rsid w:val="66A95328"/>
    <w:rPr>
      <w:noProof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cc01c95ad634758" /><Relationship Type="http://schemas.openxmlformats.org/officeDocument/2006/relationships/hyperlink" Target="mailto:conakrypress@state.gov" TargetMode="External" Id="Re00cefc6954b403d" /><Relationship Type="http://schemas.openxmlformats.org/officeDocument/2006/relationships/hyperlink" Target="https://gcc02.safelinks.protection.outlook.com/?url=http%3A%2F%2Fwww.wabteccorp.com%2F&amp;data=05%7C02%7CKauffmanS2%40state.gov%7C4d033d06b38d43d95b1608dcb0cf360f%7C66cf50745afe48d1a691a12b2121f44b%7C0%7C0%7C638579651212640969%7CUnknown%7CTWFpbGZsb3d8eyJWIjoiMC4wLjAwMDAiLCJQIjoiV2luMzIiLCJBTiI6Ik1haWwiLCJXVCI6Mn0%3D%7C0%7C%7C%7C&amp;sdata=Lg5Nzl7LmuI59b2uS7vIpUSPWsApYHe%2F0VIBLePiaGk%3D&amp;reserved=0" TargetMode="External" Id="Raea3a9edf69f40da" /><Relationship Type="http://schemas.openxmlformats.org/officeDocument/2006/relationships/hyperlink" Target="mailto:ConakryPress@state.gov" TargetMode="External" Id="R39a2b4f3ad8a47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Kauffman, Sara A</dc:creator>
  <keywords/>
  <dc:description/>
  <lastModifiedBy>Kauffman, Sara A</lastModifiedBy>
  <revision>2</revision>
  <dcterms:created xsi:type="dcterms:W3CDTF">2024-07-30T19:53:00.0000000Z</dcterms:created>
  <dcterms:modified xsi:type="dcterms:W3CDTF">2024-07-30T20:23:47.1617073Z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2024-07-30T19:53:58Z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ecce94cb-e895-4bd3-b3c5-e82dcda774dc</vt:lpwstr>
  </property>
  <property fmtid="{D5CDD505-2E9C-101B-9397-08002B2CF9AE}" pid="8" name="MSIP_Label_1665d9ee-429a-4d5f-97cc-cfb56e044a6e_ContentBits">
    <vt:lpwstr>0</vt:lpwstr>
  </property>
</Properties>
</file>